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95" w:rsidRPr="00B24195" w:rsidRDefault="00B24195" w:rsidP="00B24195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B24195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Rounding off Numbers</w:t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Rounding off numbers are discussed here, where we need to round a number.</w:t>
      </w: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</w:t>
      </w:r>
      <w:proofErr w:type="spellStart"/>
      <w:r>
        <w:rPr>
          <w:rFonts w:ascii="Verdana" w:hAnsi="Verdana"/>
          <w:color w:val="000000"/>
          <w:sz w:val="25"/>
          <w:szCs w:val="25"/>
        </w:rPr>
        <w:t>i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) If we purchase anything and its cost is $12 and 23¢, the cost is rounded up to </w:t>
      </w:r>
      <w:proofErr w:type="spellStart"/>
      <w:proofErr w:type="gramStart"/>
      <w:r>
        <w:rPr>
          <w:rFonts w:ascii="Verdana" w:hAnsi="Verdana"/>
          <w:color w:val="000000"/>
          <w:sz w:val="25"/>
          <w:szCs w:val="25"/>
        </w:rPr>
        <w:t>it’s</w:t>
      </w:r>
      <w:proofErr w:type="spellEnd"/>
      <w:proofErr w:type="gramEnd"/>
      <w:r>
        <w:rPr>
          <w:rFonts w:ascii="Verdana" w:hAnsi="Verdana"/>
          <w:color w:val="000000"/>
          <w:sz w:val="25"/>
          <w:szCs w:val="25"/>
        </w:rPr>
        <w:t xml:space="preserve"> nearest $ 12 and 23¢ is left.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 xml:space="preserve">(ii) If we purchase another thing and its cost is $15.78. The cost is rounded up to its nearest $16. 0.22 </w:t>
      </w:r>
      <w:proofErr w:type="gramStart"/>
      <w:r>
        <w:rPr>
          <w:rFonts w:ascii="Verdana" w:hAnsi="Verdana"/>
          <w:color w:val="000000"/>
          <w:sz w:val="25"/>
          <w:szCs w:val="25"/>
        </w:rPr>
        <w:t>or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22¢ more is taken.</w:t>
      </w: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Similarly, any number is taken to its nearest convenient whole number. As 48 </w:t>
      </w:r>
      <w:proofErr w:type="gramStart"/>
      <w:r>
        <w:rPr>
          <w:rFonts w:ascii="Verdana" w:hAnsi="Verdana"/>
          <w:color w:val="000000"/>
          <w:sz w:val="25"/>
          <w:szCs w:val="25"/>
        </w:rPr>
        <w:t>is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nearer to 50 than 40, so 48 may be rounded up to 50. This is called rounding off the number. In the process of rounding of a number, it is taken to its closest whole number.</w:t>
      </w: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157DEC"/>
          <w:sz w:val="29"/>
          <w:szCs w:val="29"/>
        </w:rPr>
        <w:t>Consider the following examples:</w:t>
      </w:r>
    </w:p>
    <w:p w:rsidR="007A6BEE" w:rsidRDefault="007A6BEE" w:rsidP="007A6BE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> Round 78 to the nearest multiple of 10.</w:t>
      </w:r>
    </w:p>
    <w:p w:rsidR="007A6BEE" w:rsidRPr="007A6BEE" w:rsidRDefault="007A6BEE" w:rsidP="007A6BE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A6BEE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Solution:</w:t>
      </w:r>
    </w:p>
    <w:p w:rsidR="007A6BEE" w:rsidRPr="007A6BEE" w:rsidRDefault="007A6BEE" w:rsidP="007A6BE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 xml:space="preserve">78 </w:t>
      </w:r>
      <w:proofErr w:type="gramStart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>is</w:t>
      </w:r>
      <w:proofErr w:type="gramEnd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 xml:space="preserve"> situated between 70 and 80. The middle of 70 and 80 is 75. 78 </w:t>
      </w:r>
      <w:proofErr w:type="gramStart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>is</w:t>
      </w:r>
      <w:proofErr w:type="gramEnd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 xml:space="preserve"> nearer to 80 and farther from 70. </w:t>
      </w:r>
    </w:p>
    <w:p w:rsidR="007A6BEE" w:rsidRPr="007A6BEE" w:rsidRDefault="007A6BEE" w:rsidP="007A6BEE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4667885" cy="457200"/>
            <wp:effectExtent l="19050" t="0" r="0" b="0"/>
            <wp:docPr id="15" name="Picture 15" descr="Rounding off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unding off Numb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EE" w:rsidRPr="007A6BEE" w:rsidRDefault="007A6BEE" w:rsidP="007A6BE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2.</w:t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> Round 53 to its nearest multiple of 10.</w:t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</w:t>
      </w:r>
      <w:proofErr w:type="gramStart"/>
      <w:r w:rsidRPr="007A6BEE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:</w:t>
      </w:r>
      <w:proofErr w:type="gramEnd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53 is situated between 50 and 60. The middle number between 50 and 60 is 55.</w:t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  <w:t xml:space="preserve">53 </w:t>
      </w:r>
      <w:proofErr w:type="gramStart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>is</w:t>
      </w:r>
      <w:proofErr w:type="gramEnd"/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 xml:space="preserve"> before 55, so it is rounded down to 50.</w:t>
      </w:r>
    </w:p>
    <w:p w:rsidR="007A6BEE" w:rsidRPr="007A6BEE" w:rsidRDefault="007A6BEE" w:rsidP="007A6BEE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4635500" cy="999490"/>
            <wp:effectExtent l="19050" t="0" r="0" b="0"/>
            <wp:docPr id="16" name="Picture 16" descr="Nearest Multiple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arest Multiple of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EE" w:rsidRPr="007A6BEE" w:rsidRDefault="007A6BEE" w:rsidP="007A6BE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t>(When any number is situated half way or in the middle of two convenient whole numbers, it is rounded up to the higher whole number)</w:t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  <w:t>55 is rounded up to 60, 75 is rounded up to 80</w:t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A6BEE">
        <w:rPr>
          <w:rFonts w:ascii="Verdana" w:eastAsia="Times New Roman" w:hAnsi="Verdana" w:cs="Times New Roman"/>
          <w:color w:val="000000"/>
          <w:sz w:val="25"/>
          <w:szCs w:val="25"/>
        </w:rPr>
        <w:br/>
        <w:t>54 is rounded down to 50, 74 is rounded down to 70</w:t>
      </w:r>
    </w:p>
    <w:p w:rsidR="00DD4E90" w:rsidRDefault="00DD4E90" w:rsidP="007A6BEE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95A7D"/>
    <w:rsid w:val="00184F9F"/>
    <w:rsid w:val="001D2DAF"/>
    <w:rsid w:val="00230434"/>
    <w:rsid w:val="002875FD"/>
    <w:rsid w:val="003F23B9"/>
    <w:rsid w:val="00427E59"/>
    <w:rsid w:val="00473650"/>
    <w:rsid w:val="004C007F"/>
    <w:rsid w:val="00502FAC"/>
    <w:rsid w:val="00503825"/>
    <w:rsid w:val="005071BC"/>
    <w:rsid w:val="00524275"/>
    <w:rsid w:val="005657A9"/>
    <w:rsid w:val="005F65BA"/>
    <w:rsid w:val="007A6BEE"/>
    <w:rsid w:val="0095762A"/>
    <w:rsid w:val="00973CAC"/>
    <w:rsid w:val="00A811FA"/>
    <w:rsid w:val="00B24195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2019-06-24T08:52:00Z</dcterms:created>
  <dcterms:modified xsi:type="dcterms:W3CDTF">2019-06-24T08:52:00Z</dcterms:modified>
</cp:coreProperties>
</file>